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2580">
      <w:pPr>
        <w:pStyle w:val="3"/>
        <w:tabs>
          <w:tab w:val="left" w:pos="9214"/>
        </w:tabs>
        <w:spacing w:before="0"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РЕГИСТРИРУЕМАЯ БЕЗРАБОТИЦА В ЛИПЕЦКОЙ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2"/>
          <w:szCs w:val="22"/>
        </w:rPr>
        <w:t>(по данным Управления труда и занятости Липецкой области)</w:t>
      </w:r>
    </w:p>
    <w:p w:rsidR="00000000" w:rsidRDefault="00FD2580">
      <w:pPr>
        <w:ind w:firstLine="709"/>
        <w:jc w:val="both"/>
      </w:pPr>
      <w:r>
        <w:t xml:space="preserve"> К концу августа 2019 года на учете в органах государственной службы занятости состояло </w:t>
      </w:r>
      <w:r>
        <w:t xml:space="preserve">3,5 тыс. не занятых трудовой деятельностью граждан, из них 2,4 тыс. человек имели статус безработного, получали пособие по безработице 2,1 тыс. человек. Уровень регистрируемой безработицы составил 0,4 % рабочей силы (экономически активного населения). </w:t>
      </w:r>
    </w:p>
    <w:p w:rsidR="00000000" w:rsidRDefault="00FD2580">
      <w:pPr>
        <w:pStyle w:val="a3"/>
        <w:jc w:val="center"/>
        <w:rPr>
          <w:b/>
        </w:rPr>
      </w:pPr>
      <w:r>
        <w:rPr>
          <w:b/>
        </w:rPr>
        <w:t>Дин</w:t>
      </w:r>
      <w:r>
        <w:rPr>
          <w:b/>
        </w:rPr>
        <w:t xml:space="preserve">амика численности не занятых трудовой деятельностью граждан, состоящих </w:t>
      </w:r>
      <w:r>
        <w:rPr>
          <w:b/>
        </w:rPr>
        <w:br/>
        <w:t>на учете в службах занятости</w:t>
      </w:r>
    </w:p>
    <w:tbl>
      <w:tblPr>
        <w:tblW w:w="4965" w:type="pct"/>
        <w:jc w:val="center"/>
        <w:tblInd w:w="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4073"/>
        <w:gridCol w:w="2062"/>
        <w:gridCol w:w="2830"/>
        <w:gridCol w:w="3356"/>
      </w:tblGrid>
      <w:tr w:rsidR="00000000">
        <w:trPr>
          <w:trHeight w:val="108"/>
          <w:tblHeader/>
          <w:jc w:val="center"/>
        </w:trPr>
        <w:tc>
          <w:tcPr>
            <w:tcW w:w="2468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FD2580">
            <w:pPr>
              <w:ind w:right="24"/>
              <w:jc w:val="right"/>
            </w:pPr>
            <w:r>
              <w:t> </w:t>
            </w:r>
            <w:r>
              <w:rPr>
                <w:sz w:val="22"/>
                <w:szCs w:val="22"/>
              </w:rPr>
              <w:t>на конец месяца</w:t>
            </w:r>
          </w:p>
        </w:tc>
      </w:tr>
      <w:tr w:rsidR="00000000">
        <w:trPr>
          <w:trHeight w:val="302"/>
          <w:tblHeader/>
          <w:jc w:val="center"/>
        </w:trPr>
        <w:tc>
          <w:tcPr>
            <w:tcW w:w="42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000000" w:rsidRDefault="00FD2580">
            <w:pPr>
              <w:ind w:right="-57"/>
              <w:jc w:val="center"/>
            </w:pPr>
            <w:r>
              <w:t> </w:t>
            </w:r>
          </w:p>
        </w:tc>
        <w:tc>
          <w:tcPr>
            <w:tcW w:w="681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000000" w:rsidRDefault="00FD2580">
            <w:pPr>
              <w:jc w:val="center"/>
            </w:pPr>
            <w:r>
              <w:rPr>
                <w:sz w:val="22"/>
                <w:szCs w:val="22"/>
              </w:rPr>
              <w:t xml:space="preserve">Численность не занятых  трудовой деятельностью  граждан, </w:t>
            </w:r>
            <w:r>
              <w:rPr>
                <w:sz w:val="22"/>
                <w:szCs w:val="22"/>
              </w:rPr>
              <w:br/>
              <w:t>  человек</w:t>
            </w:r>
          </w:p>
        </w:tc>
        <w:tc>
          <w:tcPr>
            <w:tcW w:w="13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000000" w:rsidRDefault="00FD2580">
            <w:pPr>
              <w:ind w:right="-57"/>
              <w:jc w:val="center"/>
            </w:pPr>
            <w:r>
              <w:rPr>
                <w:sz w:val="22"/>
                <w:szCs w:val="22"/>
              </w:rPr>
              <w:t>из них имеют статус безработного</w:t>
            </w:r>
          </w:p>
        </w:tc>
      </w:tr>
      <w:tr w:rsidR="00000000">
        <w:trPr>
          <w:trHeight w:val="155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FD258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FD2580"/>
        </w:tc>
        <w:tc>
          <w:tcPr>
            <w:tcW w:w="369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000000" w:rsidRDefault="00FD2580">
            <w:pPr>
              <w:ind w:right="-57"/>
              <w:jc w:val="center"/>
            </w:pPr>
            <w:r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9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000000" w:rsidRDefault="00FD2580">
            <w:pPr>
              <w:ind w:right="-57"/>
              <w:jc w:val="center"/>
            </w:pPr>
            <w:r>
              <w:rPr>
                <w:sz w:val="22"/>
                <w:szCs w:val="22"/>
              </w:rPr>
              <w:t>в % к</w:t>
            </w:r>
          </w:p>
        </w:tc>
      </w:tr>
      <w:tr w:rsidR="00000000">
        <w:trPr>
          <w:trHeight w:val="155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FD258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FD258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FD2580"/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000000" w:rsidRDefault="00FD2580">
            <w:pPr>
              <w:ind w:right="-57"/>
              <w:jc w:val="center"/>
            </w:pPr>
            <w:r>
              <w:rPr>
                <w:sz w:val="22"/>
                <w:szCs w:val="22"/>
              </w:rPr>
              <w:t>предыдущему  месяцу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000000" w:rsidRDefault="00FD2580">
            <w:pPr>
              <w:ind w:right="-57"/>
              <w:jc w:val="center"/>
            </w:pPr>
            <w:r>
              <w:rPr>
                <w:sz w:val="22"/>
                <w:szCs w:val="22"/>
              </w:rPr>
              <w:t>соответствующему месяцу предыдущего года</w:t>
            </w:r>
          </w:p>
        </w:tc>
      </w:tr>
      <w:tr w:rsidR="00000000">
        <w:trPr>
          <w:trHeight w:val="324"/>
          <w:jc w:val="center"/>
        </w:trPr>
        <w:tc>
          <w:tcPr>
            <w:tcW w:w="2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6"/>
              <w:jc w:val="center"/>
            </w:pPr>
            <w:r>
              <w:t>3609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2748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101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82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6"/>
              <w:jc w:val="center"/>
            </w:pPr>
            <w:r>
              <w:t>3631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2699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98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80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6"/>
              <w:jc w:val="center"/>
            </w:pPr>
            <w:r>
              <w:t>3657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2598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96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81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6"/>
              <w:jc w:val="center"/>
            </w:pPr>
            <w:r>
              <w:t>3533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2402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92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80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6"/>
              <w:jc w:val="center"/>
            </w:pPr>
            <w:r>
              <w:t>3574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2225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93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70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6"/>
              <w:jc w:val="center"/>
            </w:pPr>
            <w:r>
              <w:t>3395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2114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95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68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6"/>
              <w:jc w:val="center"/>
            </w:pPr>
            <w:r>
              <w:t>3222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2146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102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70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4"/>
              <w:jc w:val="center"/>
              <w:rPr>
                <w:sz w:val="20"/>
                <w:szCs w:val="20"/>
              </w:rPr>
            </w:pPr>
            <w:r>
              <w:t>3267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2158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101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77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4"/>
              <w:jc w:val="center"/>
            </w:pPr>
            <w:r>
              <w:t>2</w:t>
            </w:r>
            <w:r>
              <w:rPr>
                <w:lang w:val="en-US"/>
              </w:rPr>
              <w:t>693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1922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89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77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4"/>
              <w:jc w:val="center"/>
            </w:pPr>
            <w:r>
              <w:t>3109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1924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100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86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4"/>
              <w:jc w:val="center"/>
            </w:pPr>
            <w:r>
              <w:t>3186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2240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116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96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4"/>
              <w:jc w:val="center"/>
            </w:pPr>
            <w:r>
              <w:t>3141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2459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110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90</w:t>
            </w:r>
          </w:p>
        </w:tc>
      </w:tr>
      <w:tr w:rsidR="00000000">
        <w:trPr>
          <w:trHeight w:val="324"/>
          <w:jc w:val="center"/>
        </w:trPr>
        <w:tc>
          <w:tcPr>
            <w:tcW w:w="2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6"/>
              <w:jc w:val="center"/>
            </w:pPr>
            <w:r>
              <w:t>3958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2735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111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100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6"/>
              <w:jc w:val="center"/>
            </w:pPr>
            <w:r>
              <w:t>4034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2934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107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109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6"/>
              <w:jc w:val="center"/>
            </w:pPr>
            <w:r>
              <w:t>3545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2849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97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110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6"/>
              <w:jc w:val="center"/>
            </w:pPr>
            <w:r>
              <w:t>3613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2806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98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117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6"/>
              <w:jc w:val="center"/>
            </w:pPr>
            <w:r>
              <w:t>3459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2714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97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122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6"/>
              <w:jc w:val="center"/>
            </w:pPr>
            <w:r>
              <w:t>3501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2549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94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121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6"/>
              <w:jc w:val="center"/>
            </w:pPr>
            <w:r>
              <w:t>3587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2456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96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114</w:t>
            </w:r>
          </w:p>
        </w:tc>
      </w:tr>
      <w:tr w:rsidR="00000000">
        <w:trPr>
          <w:trHeight w:val="32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1176"/>
              <w:jc w:val="center"/>
            </w:pPr>
            <w:r>
              <w:t>3523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556"/>
              <w:jc w:val="center"/>
            </w:pPr>
            <w:r>
              <w:t>2428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ind w:right="397"/>
              <w:jc w:val="center"/>
            </w:pPr>
            <w:r>
              <w:t>99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jc w:val="center"/>
            </w:pPr>
            <w:r>
              <w:t>113</w:t>
            </w:r>
          </w:p>
        </w:tc>
      </w:tr>
      <w:tr w:rsidR="00000000">
        <w:trPr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FD2580">
            <w:pPr>
              <w:rPr>
                <w:sz w:val="20"/>
                <w:szCs w:val="20"/>
              </w:rPr>
            </w:pPr>
          </w:p>
        </w:tc>
      </w:tr>
    </w:tbl>
    <w:p w:rsidR="00000000" w:rsidRDefault="00FD2580">
      <w:pPr>
        <w:pStyle w:val="31"/>
      </w:pPr>
      <w:r>
        <w:rPr>
          <w:sz w:val="22"/>
          <w:szCs w:val="22"/>
        </w:rPr>
        <w:t>В августе  2019 года статус безработного получили 487 человек, из числа безработных были трудоустроены 304 человека.</w:t>
      </w:r>
    </w:p>
    <w:p w:rsidR="00000000" w:rsidRDefault="00FD2580">
      <w:r>
        <w:t> </w:t>
      </w:r>
    </w:p>
    <w:p w:rsidR="00FD2580" w:rsidRDefault="00FD2580">
      <w:r>
        <w:t> </w:t>
      </w:r>
    </w:p>
    <w:sectPr w:rsidR="00FD2580">
      <w:pgSz w:w="16838" w:h="11906" w:orient="landscape"/>
      <w:pgMar w:top="1701" w:right="1140" w:bottom="851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6A2B"/>
    <w:rsid w:val="00AF6A2B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pPr>
      <w:spacing w:before="240" w:after="120"/>
      <w:outlineLvl w:val="2"/>
    </w:pPr>
    <w:rPr>
      <w:rFonts w:ascii="Arial" w:eastAsiaTheme="minorEastAsia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locked/>
    <w:rPr>
      <w:sz w:val="24"/>
      <w:szCs w:val="24"/>
    </w:rPr>
  </w:style>
  <w:style w:type="paragraph" w:styleId="a5">
    <w:name w:val="Body Text First Indent"/>
    <w:basedOn w:val="a3"/>
    <w:link w:val="a6"/>
    <w:pPr>
      <w:spacing w:after="0"/>
      <w:ind w:firstLine="360"/>
    </w:pPr>
  </w:style>
  <w:style w:type="character" w:customStyle="1" w:styleId="a6">
    <w:name w:val="Красная строка Знак"/>
    <w:basedOn w:val="a4"/>
    <w:link w:val="a5"/>
    <w:locked/>
    <w:rPr>
      <w:sz w:val="24"/>
      <w:szCs w:val="24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locked/>
    <w:rPr>
      <w:sz w:val="16"/>
      <w:szCs w:val="16"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Pr>
      <w:rFonts w:ascii="Tahoma" w:hAnsi="Tahoma" w:cs="Tahoma" w:hint="default"/>
      <w:sz w:val="16"/>
      <w:szCs w:val="16"/>
    </w:rPr>
  </w:style>
  <w:style w:type="paragraph" w:customStyle="1" w:styleId="msoacetate0">
    <w:name w:val="msoacetate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pPr>
      <w:spacing w:before="240" w:after="120"/>
      <w:outlineLvl w:val="2"/>
    </w:pPr>
    <w:rPr>
      <w:rFonts w:ascii="Arial" w:eastAsiaTheme="minorEastAsia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locked/>
    <w:rPr>
      <w:sz w:val="24"/>
      <w:szCs w:val="24"/>
    </w:rPr>
  </w:style>
  <w:style w:type="paragraph" w:styleId="a5">
    <w:name w:val="Body Text First Indent"/>
    <w:basedOn w:val="a3"/>
    <w:link w:val="a6"/>
    <w:pPr>
      <w:spacing w:after="0"/>
      <w:ind w:firstLine="360"/>
    </w:pPr>
  </w:style>
  <w:style w:type="character" w:customStyle="1" w:styleId="a6">
    <w:name w:val="Красная строка Знак"/>
    <w:basedOn w:val="a4"/>
    <w:link w:val="a5"/>
    <w:locked/>
    <w:rPr>
      <w:sz w:val="24"/>
      <w:szCs w:val="24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locked/>
    <w:rPr>
      <w:sz w:val="16"/>
      <w:szCs w:val="16"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Pr>
      <w:rFonts w:ascii="Tahoma" w:hAnsi="Tahoma" w:cs="Tahoma" w:hint="default"/>
      <w:sz w:val="16"/>
      <w:szCs w:val="16"/>
    </w:rPr>
  </w:style>
  <w:style w:type="paragraph" w:customStyle="1" w:styleId="msoacetate0">
    <w:name w:val="msoacetate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Регистрируемая безработица в Липецкой области</vt:lpstr>
    </vt:vector>
  </TitlesOfParts>
  <Company>Росстат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Регистрируемая безработица в Липецкой области</dc:title>
  <dc:creator>Деревягина Анастасия Сергеевна</dc:creator>
  <cp:lastModifiedBy>Деревягина Анастасия Сергеевна</cp:lastModifiedBy>
  <cp:revision>2</cp:revision>
  <dcterms:created xsi:type="dcterms:W3CDTF">2019-09-26T10:19:00Z</dcterms:created>
  <dcterms:modified xsi:type="dcterms:W3CDTF">2019-09-26T10:19:00Z</dcterms:modified>
</cp:coreProperties>
</file>